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/>
    <w:p/>
    <w:p/>
    <w:p>
      <w:pPr>
        <w:pStyle w:val="21"/>
        <w:jc w:val="center"/>
        <w:rPr>
          <w:rFonts w:hint="eastAsia"/>
          <w:b/>
          <w:bCs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Toc18767"/>
      <w:bookmarkStart w:id="1" w:name="_Toc4925"/>
      <w:bookmarkStart w:id="2" w:name="_Toc23711"/>
      <w:bookmarkStart w:id="3" w:name="_Toc16193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北京大学</w:t>
      </w:r>
      <w:bookmarkEnd w:id="0"/>
      <w:bookmarkEnd w:id="1"/>
      <w:bookmarkEnd w:id="2"/>
      <w:bookmarkEnd w:id="3"/>
    </w:p>
    <w:p>
      <w:pPr>
        <w:pStyle w:val="21"/>
        <w:jc w:val="center"/>
        <w:rPr>
          <w:rFonts w:hint="eastAsia"/>
          <w:b/>
          <w:bCs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</w:pPr>
      <w:bookmarkStart w:id="4" w:name="_Toc21799"/>
      <w:bookmarkStart w:id="5" w:name="_Toc2573"/>
      <w:bookmarkStart w:id="6" w:name="_Toc31047"/>
      <w:bookmarkStart w:id="7" w:name="_Toc26294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毕业论文（设计）管理系统</w:t>
      </w:r>
      <w:bookmarkEnd w:id="4"/>
      <w:bookmarkEnd w:id="5"/>
      <w:bookmarkEnd w:id="6"/>
      <w:bookmarkEnd w:id="7"/>
    </w:p>
    <w:p>
      <w:pPr>
        <w:pStyle w:val="21"/>
        <w:jc w:val="center"/>
        <w:rPr>
          <w:rFonts w:hint="default"/>
          <w:b/>
          <w:bCs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</w:pPr>
      <w:bookmarkStart w:id="8" w:name="_Toc19298"/>
      <w:bookmarkStart w:id="9" w:name="_Toc7718"/>
      <w:bookmarkStart w:id="10" w:name="_Toc9325"/>
      <w:bookmarkStart w:id="11" w:name="_Toc14840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学生使用手册</w:t>
      </w:r>
      <w:bookmarkEnd w:id="8"/>
      <w:bookmarkEnd w:id="9"/>
      <w:bookmarkEnd w:id="10"/>
      <w:bookmarkEnd w:id="11"/>
    </w:p>
    <w:p/>
    <w:p/>
    <w:p/>
    <w:p/>
    <w:p/>
    <w:p/>
    <w:p/>
    <w:p/>
    <w:p/>
    <w:p/>
    <w:p/>
    <w:p/>
    <w:p/>
    <w:p/>
    <w:p/>
    <w:p/>
    <w:p/>
    <w:p/>
    <w:p>
      <w:pPr>
        <w:bidi w:val="0"/>
        <w:jc w:val="center"/>
      </w:pPr>
      <w:bookmarkStart w:id="12" w:name="_Toc27575"/>
      <w:bookmarkStart w:id="13" w:name="_Toc8356"/>
      <w:bookmarkStart w:id="14" w:name="_Toc463"/>
      <w:r>
        <w:rPr>
          <w:rFonts w:hint="eastAsia"/>
        </w:rPr>
        <w:t>同方知网数字出版技术股份有限公司</w:t>
      </w:r>
      <w:bookmarkEnd w:id="12"/>
      <w:bookmarkEnd w:id="13"/>
      <w:bookmarkEnd w:id="14"/>
    </w:p>
    <w:p>
      <w:pPr>
        <w:jc w:val="center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sz w:val="24"/>
        </w:rPr>
        <w:t>202</w:t>
      </w:r>
      <w:r>
        <w:rPr>
          <w:rFonts w:hint="eastAsia"/>
          <w:sz w:val="24"/>
          <w:lang w:val="en-US" w:eastAsia="zh-CN"/>
        </w:rPr>
        <w:t>1</w:t>
      </w:r>
      <w:r>
        <w:rPr>
          <w:rFonts w:hint="eastAsia"/>
          <w:sz w:val="24"/>
        </w:rPr>
        <w:t>.</w:t>
      </w:r>
      <w:r>
        <w:rPr>
          <w:rFonts w:hint="eastAsia"/>
          <w:sz w:val="24"/>
          <w:lang w:val="en-US" w:eastAsia="zh-CN"/>
        </w:rPr>
        <w:t>10</w:t>
      </w:r>
    </w:p>
    <w:p>
      <w:pPr>
        <w:jc w:val="center"/>
        <w:rPr>
          <w:rFonts w:hint="eastAsia"/>
          <w:sz w:val="24"/>
        </w:rPr>
      </w:pPr>
    </w:p>
    <w:p>
      <w:pPr>
        <w:jc w:val="center"/>
        <w:rPr>
          <w:rFonts w:hint="eastAsia"/>
          <w:sz w:val="24"/>
        </w:rPr>
      </w:pPr>
    </w:p>
    <w:p>
      <w:pPr>
        <w:spacing w:line="276" w:lineRule="auto"/>
        <w:jc w:val="center"/>
        <w:rPr>
          <w:rFonts w:hint="eastAsia" w:ascii="微软雅黑" w:hAnsi="微软雅黑" w:eastAsia="微软雅黑"/>
          <w:color w:val="303030"/>
          <w:sz w:val="28"/>
          <w:szCs w:val="28"/>
        </w:rPr>
      </w:pPr>
    </w:p>
    <w:p>
      <w:pPr>
        <w:spacing w:line="276" w:lineRule="auto"/>
        <w:rPr>
          <w:rFonts w:asciiTheme="minorHAnsi" w:hAnsiTheme="minorHAnsi" w:eastAsiaTheme="minorEastAsia" w:cstheme="minorBidi"/>
          <w:b/>
          <w:kern w:val="2"/>
          <w:sz w:val="21"/>
          <w:szCs w:val="22"/>
          <w:lang w:val="en-US" w:eastAsia="zh-CN" w:bidi="ar-SA"/>
        </w:rPr>
      </w:pPr>
    </w:p>
    <w:p>
      <w:pPr>
        <w:spacing w:line="276" w:lineRule="auto"/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62899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_Toc20945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一、总体</w:t>
          </w:r>
          <w:r>
            <w:t>流程</w:t>
          </w:r>
          <w:r>
            <w:tab/>
          </w:r>
          <w:r>
            <w:fldChar w:fldCharType="begin"/>
          </w:r>
          <w:r>
            <w:instrText xml:space="preserve"> PAGEREF _Toc20945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_Toc8645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二、登录</w:t>
          </w:r>
          <w:r>
            <w:tab/>
          </w:r>
          <w:r>
            <w:fldChar w:fldCharType="begin"/>
          </w:r>
          <w:r>
            <w:instrText xml:space="preserve"> PAGEREF _Toc8645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_Toc6020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</w:t>
          </w:r>
          <w:r>
            <w:t>登录系统</w:t>
          </w:r>
          <w:r>
            <w:tab/>
          </w:r>
          <w:r>
            <w:fldChar w:fldCharType="begin"/>
          </w:r>
          <w:r>
            <w:instrText xml:space="preserve"> PAGEREF _Toc6020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_Toc8675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三、拟题、双选</w:t>
          </w:r>
          <w:r>
            <w:tab/>
          </w:r>
          <w:r>
            <w:fldChar w:fldCharType="begin"/>
          </w:r>
          <w:r>
            <w:instrText xml:space="preserve"> PAGEREF _Toc8675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_Toc10916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1、双选达成</w:t>
          </w:r>
          <w:r>
            <w:tab/>
          </w:r>
          <w:r>
            <w:fldChar w:fldCharType="begin"/>
          </w:r>
          <w:r>
            <w:instrText xml:space="preserve"> PAGEREF _Toc10916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_Toc6325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2、题目修改</w:t>
          </w:r>
          <w:r>
            <w:tab/>
          </w:r>
          <w:r>
            <w:fldChar w:fldCharType="begin"/>
          </w:r>
          <w:r>
            <w:instrText xml:space="preserve"> PAGEREF _Toc6325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_Toc30139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四、开题报告、中期报告、论文查重及原创授权声明</w:t>
          </w:r>
          <w:r>
            <w:tab/>
          </w:r>
          <w:r>
            <w:fldChar w:fldCharType="begin"/>
          </w:r>
          <w:r>
            <w:instrText xml:space="preserve"> PAGEREF _Toc30139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_Toc26732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1、提交开题报告、中期报告、原创授权声明</w:t>
          </w:r>
          <w:r>
            <w:tab/>
          </w:r>
          <w:r>
            <w:fldChar w:fldCharType="begin"/>
          </w:r>
          <w:r>
            <w:instrText xml:space="preserve"> PAGEREF _Toc26732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_Toc13498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2、</w:t>
          </w:r>
          <w:r>
            <w:t>提交</w:t>
          </w:r>
          <w:r>
            <w:rPr>
              <w:rFonts w:hint="eastAsia"/>
              <w:lang w:val="en-US" w:eastAsia="zh-CN"/>
            </w:rPr>
            <w:t>毕业论文查重稿</w:t>
          </w:r>
          <w:r>
            <w:tab/>
          </w:r>
          <w:r>
            <w:fldChar w:fldCharType="begin"/>
          </w:r>
          <w:r>
            <w:instrText xml:space="preserve"> PAGEREF _Toc13498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_Toc23962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五、毕业答辩</w:t>
          </w:r>
          <w:r>
            <w:tab/>
          </w:r>
          <w:r>
            <w:fldChar w:fldCharType="begin"/>
          </w:r>
          <w:r>
            <w:instrText xml:space="preserve"> PAGEREF _Toc23962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_Toc2252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1、查看答辩组安排</w:t>
          </w:r>
          <w:r>
            <w:tab/>
          </w:r>
          <w:r>
            <w:fldChar w:fldCharType="begin"/>
          </w:r>
          <w:r>
            <w:instrText xml:space="preserve"> PAGEREF _Toc2252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_Toc26674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2、</w:t>
          </w:r>
          <w:r>
            <w:t>提交答辩记录</w:t>
          </w:r>
          <w:r>
            <w:tab/>
          </w:r>
          <w:r>
            <w:fldChar w:fldCharType="begin"/>
          </w:r>
          <w:r>
            <w:instrText xml:space="preserve"> PAGEREF _Toc26674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_Toc28607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六、查看成绩</w:t>
          </w:r>
          <w:r>
            <w:tab/>
          </w:r>
          <w:r>
            <w:fldChar w:fldCharType="begin"/>
          </w:r>
          <w:r>
            <w:instrText xml:space="preserve"> PAGEREF _Toc28607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_Toc19910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七、论文终版提交</w:t>
          </w:r>
          <w:r>
            <w:t>及表格导出</w:t>
          </w:r>
          <w:r>
            <w:tab/>
          </w:r>
          <w:r>
            <w:fldChar w:fldCharType="begin"/>
          </w:r>
          <w:r>
            <w:instrText xml:space="preserve"> PAGEREF _Toc19910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_Toc25559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1、论文终版</w:t>
          </w:r>
          <w:r>
            <w:t>提交</w:t>
          </w:r>
          <w:r>
            <w:tab/>
          </w:r>
          <w:r>
            <w:fldChar w:fldCharType="begin"/>
          </w:r>
          <w:r>
            <w:instrText xml:space="preserve"> PAGEREF _Toc25559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_Toc9889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2、</w:t>
          </w:r>
          <w:r>
            <w:t>表格导出</w:t>
          </w:r>
          <w:r>
            <w:tab/>
          </w:r>
          <w:r>
            <w:fldChar w:fldCharType="begin"/>
          </w:r>
          <w:r>
            <w:instrText xml:space="preserve"> PAGEREF _Toc9889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spacing w:line="276" w:lineRule="auto"/>
            <w:rPr>
              <w:rFonts w:asciiTheme="minorHAnsi" w:hAnsiTheme="minorHAnsi" w:eastAsiaTheme="minorEastAsia" w:cstheme="minorBidi"/>
              <w:b/>
              <w:kern w:val="2"/>
              <w:sz w:val="21"/>
              <w:szCs w:val="22"/>
              <w:lang w:val="en-US" w:eastAsia="zh-CN" w:bidi="ar-SA"/>
            </w:rPr>
            <w:sectPr>
              <w:headerReference r:id="rId3" w:type="default"/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fldChar w:fldCharType="end"/>
          </w:r>
        </w:p>
      </w:sdtContent>
    </w:sdt>
    <w:p>
      <w:pPr>
        <w:pStyle w:val="2"/>
        <w:numPr>
          <w:ilvl w:val="0"/>
          <w:numId w:val="0"/>
        </w:numPr>
        <w:bidi w:val="0"/>
      </w:pPr>
      <w:bookmarkStart w:id="15" w:name="_Toc20945"/>
      <w:bookmarkStart w:id="16" w:name="_Toc23082"/>
      <w:r>
        <w:rPr>
          <w:rFonts w:hint="eastAsia"/>
          <w:lang w:val="en-US" w:eastAsia="zh-CN"/>
        </w:rPr>
        <w:t>一、总体</w:t>
      </w:r>
      <w:r>
        <w:t>流程</w:t>
      </w:r>
      <w:bookmarkEnd w:id="15"/>
      <w:bookmarkEnd w:id="16"/>
    </w:p>
    <w:p>
      <w:pPr>
        <w:numPr>
          <w:ilvl w:val="0"/>
          <w:numId w:val="0"/>
        </w:numPr>
        <w:ind w:left="420" w:leftChars="0" w:firstLine="420" w:firstLineChars="0"/>
        <w:rPr>
          <w:color w:val="FF0000"/>
        </w:rPr>
      </w:pPr>
      <w:r>
        <w:rPr>
          <w:color w:val="FF0000"/>
        </w:rPr>
        <w:t>“绿色”部分为毕设整个过程中学生角色会进行的操作。</w:t>
      </w:r>
    </w:p>
    <w:p>
      <w:pPr>
        <w:numPr>
          <w:ilvl w:val="0"/>
          <w:numId w:val="0"/>
        </w:numPr>
        <w:ind w:left="420" w:leftChars="0" w:firstLine="420" w:firstLineChars="0"/>
      </w:pPr>
      <w:r>
        <w:t>根据流程，找到相应页面填报或查看即可。</w:t>
      </w:r>
    </w:p>
    <w:p>
      <w:pPr>
        <w:spacing w:line="276" w:lineRule="auto"/>
        <w:rPr>
          <w:rFonts w:hint="eastAsia" w:eastAsiaTheme="minorEastAsia"/>
          <w:color w:val="303030"/>
          <w:lang w:eastAsia="zh-CN"/>
        </w:rPr>
      </w:pPr>
      <w:r>
        <w:drawing>
          <wp:inline distT="0" distB="0" distL="114300" distR="114300">
            <wp:extent cx="5560695" cy="7041515"/>
            <wp:effectExtent l="0" t="0" r="1905" b="698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70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/>
          <w:b/>
          <w:bCs/>
          <w:color w:val="303030"/>
          <w:sz w:val="28"/>
          <w:szCs w:val="28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eastAsia"/>
          <w:b/>
          <w:bCs/>
          <w:color w:val="303030"/>
          <w:sz w:val="28"/>
          <w:szCs w:val="28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请注意：此版本为北京大学全校通用版本，具体使用时可根据学院具体要求进行选择查看。</w:t>
      </w:r>
    </w:p>
    <w:p>
      <w:pPr>
        <w:pStyle w:val="2"/>
        <w:bidi w:val="0"/>
        <w:rPr>
          <w:rFonts w:hint="eastAsia"/>
          <w:lang w:val="en-US" w:eastAsia="zh-CN"/>
        </w:rPr>
      </w:pPr>
      <w:bookmarkStart w:id="17" w:name="_Toc27434"/>
      <w:bookmarkStart w:id="18" w:name="_Toc8645"/>
      <w:r>
        <w:rPr>
          <w:rFonts w:hint="eastAsia"/>
          <w:lang w:val="en-US" w:eastAsia="zh-CN"/>
        </w:rPr>
        <w:t>二、登录</w:t>
      </w:r>
      <w:bookmarkEnd w:id="17"/>
      <w:bookmarkEnd w:id="18"/>
    </w:p>
    <w:p>
      <w:pPr>
        <w:pStyle w:val="3"/>
        <w:bidi w:val="0"/>
      </w:pPr>
      <w:bookmarkStart w:id="19" w:name="_Toc6020"/>
      <w:r>
        <w:rPr>
          <w:rFonts w:hint="eastAsia"/>
          <w:lang w:val="en-US" w:eastAsia="zh-CN"/>
        </w:rPr>
        <w:t>1.</w:t>
      </w:r>
      <w:r>
        <w:t>登录系统</w:t>
      </w:r>
      <w:bookmarkEnd w:id="19"/>
    </w:p>
    <w:p>
      <w:pPr>
        <w:spacing w:line="276" w:lineRule="auto"/>
        <w:ind w:firstLine="420" w:firstLineChars="200"/>
        <w:rPr>
          <w:rFonts w:hint="default" w:eastAsia="宋体"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</w:t>
      </w:r>
      <w:r>
        <w:rPr>
          <w:rFonts w:hint="eastAsia"/>
          <w:color w:val="303030"/>
          <w:lang w:val="en-US" w:eastAsia="zh-CN"/>
        </w:rPr>
        <w:t>登录网址：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"http://pku.co.cnki.net/Main.html?dp=pku&amp;r=1583063882952"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3"/>
          <w:rFonts w:ascii="宋体" w:hAnsi="宋体" w:eastAsia="宋体" w:cs="宋体"/>
          <w:sz w:val="24"/>
          <w:szCs w:val="24"/>
        </w:rPr>
        <w:t>http://pku.co.cnki.net/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/>
          <w:color w:val="303030"/>
          <w:lang w:val="en-US" w:eastAsia="zh-CN"/>
        </w:rPr>
        <w:t>（http后无s)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2步：选择登录方式（账号密码登录或者已绑定微信登录）</w:t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3步：输入账号密码或者使用</w:t>
      </w:r>
      <w:r>
        <w:rPr>
          <w:rFonts w:hint="eastAsia"/>
          <w:b/>
          <w:bCs/>
          <w:color w:val="303030"/>
        </w:rPr>
        <w:t>微信“扫一扫</w:t>
      </w:r>
      <w:r>
        <w:rPr>
          <w:rFonts w:hint="eastAsia"/>
          <w:color w:val="303030"/>
        </w:rPr>
        <w:t>”功能，登录系统（选“学生”类型）</w:t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5267960" cy="3418840"/>
            <wp:effectExtent l="0" t="0" r="889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20" w:name="_Toc788"/>
      <w:bookmarkStart w:id="21" w:name="_Toc8675"/>
      <w:r>
        <w:rPr>
          <w:rFonts w:hint="eastAsia"/>
          <w:lang w:val="en-US" w:eastAsia="zh-CN"/>
        </w:rPr>
        <w:t>三、</w:t>
      </w:r>
      <w:bookmarkEnd w:id="20"/>
      <w:r>
        <w:rPr>
          <w:rFonts w:hint="eastAsia"/>
          <w:lang w:val="en-US" w:eastAsia="zh-CN"/>
        </w:rPr>
        <w:t>拟题、双选</w:t>
      </w:r>
      <w:bookmarkEnd w:id="21"/>
    </w:p>
    <w:p>
      <w:pPr>
        <w:pStyle w:val="3"/>
        <w:bidi w:val="0"/>
        <w:rPr>
          <w:rFonts w:hint="default"/>
          <w:lang w:val="en-US" w:eastAsia="zh-CN"/>
        </w:rPr>
      </w:pPr>
      <w:bookmarkStart w:id="22" w:name="_Toc10916"/>
      <w:r>
        <w:rPr>
          <w:rFonts w:hint="eastAsia"/>
          <w:lang w:val="en-US" w:eastAsia="zh-CN"/>
        </w:rPr>
        <w:t>1、双选达成</w:t>
      </w:r>
      <w:bookmarkEnd w:id="22"/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选题环节根据学院安排进行，具体可参考如下几种方式：</w:t>
      </w:r>
    </w:p>
    <w:p>
      <w:pPr>
        <w:numPr>
          <w:ilvl w:val="0"/>
          <w:numId w:val="1"/>
        </w:numPr>
        <w:ind w:left="208" w:leftChars="0" w:firstLine="422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方式一：学院统一导入系统双选关系，则学生不需要做任何操作，进入系统即可看见自己的论文题目及导师。（查看题目位置：首页-我的题目-查看详情）</w:t>
      </w:r>
    </w:p>
    <w:p>
      <w:pPr>
        <w:numPr>
          <w:ilvl w:val="0"/>
          <w:numId w:val="0"/>
        </w:numPr>
        <w:ind w:left="630" w:left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348990" cy="1301115"/>
            <wp:effectExtent l="0" t="0" r="3810" b="381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208" w:leftChars="0" w:firstLine="42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方式二：学院仅统一导入教师和题目关系，学生需在线选择相应的题目和导师，由导师审核通过后达成双选关系。位置：拟题、双选-学生选题</w:t>
      </w:r>
    </w:p>
    <w:p>
      <w:pPr>
        <w:numPr>
          <w:ilvl w:val="0"/>
          <w:numId w:val="0"/>
        </w:numPr>
        <w:ind w:left="630"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1205865"/>
            <wp:effectExtent l="0" t="0" r="3810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208" w:leftChars="0" w:firstLine="42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方式三：学生发起论文题目申报，选择导师，导师审核通过，则达成双选关系。</w:t>
      </w:r>
    </w:p>
    <w:p>
      <w:pPr>
        <w:numPr>
          <w:ilvl w:val="0"/>
          <w:numId w:val="0"/>
        </w:numPr>
        <w:ind w:firstLine="105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点击“首页-申报题目”，进入如下界面，填写后提交</w:t>
      </w:r>
    </w:p>
    <w:p>
      <w:pPr>
        <w:numPr>
          <w:ilvl w:val="0"/>
          <w:numId w:val="0"/>
        </w:numPr>
        <w:ind w:left="630"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314065" cy="3348990"/>
            <wp:effectExtent l="0" t="0" r="635" b="381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b/>
          <w:bCs/>
          <w:color w:val="C00000"/>
          <w:lang w:val="en-US" w:eastAsia="zh-CN"/>
        </w:rPr>
        <w:t>以上三种方式均可达成双选关系，学生根据学院要求择一种使用即可。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23" w:name="_Toc6325"/>
      <w:r>
        <w:rPr>
          <w:rFonts w:hint="eastAsia"/>
          <w:lang w:val="en-US" w:eastAsia="zh-CN"/>
        </w:rPr>
        <w:t>2、题目修改</w:t>
      </w:r>
      <w:bookmarkEnd w:id="23"/>
    </w:p>
    <w:p>
      <w:pPr>
        <w:numPr>
          <w:ilvl w:val="0"/>
          <w:numId w:val="0"/>
        </w:numPr>
        <w:spacing w:line="276" w:lineRule="auto"/>
        <w:ind w:firstLine="420" w:firstLineChars="200"/>
      </w:pPr>
      <w:r>
        <w:rPr>
          <w:rFonts w:hint="eastAsia"/>
          <w:lang w:val="en-US" w:eastAsia="zh-CN"/>
        </w:rPr>
        <w:t xml:space="preserve">   审核通过后的题目如需修改，可找指导教师或教务员给予修改权限（</w:t>
      </w:r>
      <w:r>
        <w:rPr>
          <w:rFonts w:hint="eastAsia" w:asciiTheme="minorEastAsia" w:hAnsiTheme="minorEastAsia"/>
          <w:color w:val="303030"/>
          <w:lang w:val="en-US" w:eastAsia="zh-CN"/>
        </w:rPr>
        <w:t>学生在线进行选题的，指导教师进行修改</w:t>
      </w:r>
      <w:r>
        <w:rPr>
          <w:rFonts w:hint="eastAsia"/>
          <w:lang w:val="en-US" w:eastAsia="zh-CN"/>
        </w:rPr>
        <w:t>）</w:t>
      </w:r>
    </w:p>
    <w:p>
      <w:pPr>
        <w:pStyle w:val="2"/>
        <w:bidi w:val="0"/>
        <w:rPr>
          <w:rFonts w:hint="default"/>
          <w:lang w:val="en-US" w:eastAsia="zh-CN"/>
        </w:rPr>
      </w:pPr>
      <w:bookmarkStart w:id="24" w:name="_Toc31432"/>
      <w:bookmarkStart w:id="25" w:name="_Toc30139"/>
      <w:r>
        <w:rPr>
          <w:rFonts w:hint="eastAsia"/>
          <w:lang w:val="en-US" w:eastAsia="zh-CN"/>
        </w:rPr>
        <w:t>四、开题报告、中期报告、论文查重及原创授权声明</w:t>
      </w:r>
      <w:bookmarkEnd w:id="24"/>
      <w:bookmarkEnd w:id="25"/>
    </w:p>
    <w:p>
      <w:pPr>
        <w:pStyle w:val="3"/>
        <w:bidi w:val="0"/>
        <w:rPr>
          <w:rFonts w:hint="default"/>
          <w:lang w:val="en-US" w:eastAsia="zh-CN"/>
        </w:rPr>
      </w:pPr>
      <w:bookmarkStart w:id="26" w:name="_Toc26732"/>
      <w:r>
        <w:rPr>
          <w:rFonts w:hint="eastAsia"/>
          <w:lang w:val="en-US" w:eastAsia="zh-CN"/>
        </w:rPr>
        <w:t>1、提交开题报告、中期报告、原创授权声明</w:t>
      </w:r>
      <w:bookmarkEnd w:id="26"/>
    </w:p>
    <w:p>
      <w:pPr>
        <w:spacing w:line="276" w:lineRule="auto"/>
        <w:ind w:firstLine="420" w:firstLineChars="200"/>
        <w:rPr>
          <w:rFonts w:hint="default"/>
          <w:color w:val="FF000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提交</w:t>
      </w:r>
      <w:r>
        <w:rPr>
          <w:rFonts w:hint="eastAsia" w:asciiTheme="minorEastAsia" w:hAnsiTheme="minorEastAsia"/>
          <w:color w:val="303030"/>
        </w:rPr>
        <w:t>：选择“</w:t>
      </w:r>
      <w:r>
        <w:rPr>
          <w:rFonts w:hint="eastAsia" w:asciiTheme="minorEastAsia" w:hAnsiTheme="minorEastAsia"/>
          <w:color w:val="303030"/>
          <w:lang w:val="en-US" w:eastAsia="zh-CN"/>
        </w:rPr>
        <w:t>开题管理-开题情况</w:t>
      </w:r>
      <w:r>
        <w:rPr>
          <w:rFonts w:hint="eastAsia" w:asciiTheme="minorEastAsia" w:hAnsiTheme="minorEastAsia"/>
          <w:color w:val="303030"/>
        </w:rPr>
        <w:t>”打开页面，或者在学生首页的“过程文档信息</w:t>
      </w:r>
      <w:r>
        <w:rPr>
          <w:rFonts w:hint="eastAsia" w:asciiTheme="minorEastAsia" w:hAnsiTheme="minorEastAsia"/>
          <w:color w:val="303030"/>
          <w:lang w:val="en-US" w:eastAsia="zh-CN"/>
        </w:rPr>
        <w:t>-开题报告</w:t>
      </w:r>
      <w:r>
        <w:rPr>
          <w:rFonts w:hint="eastAsia" w:asciiTheme="minorEastAsia" w:hAnsiTheme="minorEastAsia"/>
          <w:color w:val="303030"/>
        </w:rPr>
        <w:t>”栏的“</w:t>
      </w:r>
      <w:r>
        <w:rPr>
          <w:rFonts w:hint="eastAsia" w:asciiTheme="minorEastAsia" w:hAnsiTheme="minorEastAsia"/>
          <w:color w:val="303030"/>
          <w:lang w:val="en-US" w:eastAsia="zh-CN"/>
        </w:rPr>
        <w:t>点击提交</w:t>
      </w:r>
      <w:r>
        <w:rPr>
          <w:rFonts w:hint="eastAsia" w:asciiTheme="minorEastAsia" w:hAnsiTheme="minorEastAsia"/>
          <w:color w:val="303030"/>
        </w:rPr>
        <w:t>”打开页面</w:t>
      </w:r>
      <w:r>
        <w:rPr>
          <w:rFonts w:hint="eastAsia" w:asciiTheme="minorEastAsia" w:hAnsiTheme="minorEastAsia"/>
          <w:color w:val="303030"/>
          <w:lang w:eastAsia="zh-CN"/>
        </w:rPr>
        <w:t>，</w:t>
      </w:r>
      <w:r>
        <w:rPr>
          <w:rFonts w:hint="eastAsia" w:asciiTheme="minorEastAsia" w:hAnsiTheme="minorEastAsia"/>
          <w:color w:val="303030"/>
          <w:lang w:val="en-US" w:eastAsia="zh-CN"/>
        </w:rPr>
        <w:t>按照系统要求进行填写提交。</w:t>
      </w: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color w:val="FF0000"/>
          <w:lang w:eastAsia="zh-CN"/>
        </w:rPr>
      </w:pPr>
      <w:r>
        <w:rPr>
          <w:rFonts w:hint="default"/>
          <w:color w:val="FF0000"/>
        </w:rPr>
        <w:t>若学院未要求提交附件，可为空。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3060065" cy="3415030"/>
            <wp:effectExtent l="0" t="0" r="698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2" w:name="_GoBack"/>
      <w:bookmarkEnd w:id="42"/>
    </w:p>
    <w:p>
      <w:pPr>
        <w:keepNext w:val="0"/>
        <w:keepLines w:val="0"/>
        <w:widowControl/>
        <w:suppressLineNumbers w:val="0"/>
        <w:ind w:firstLine="210" w:firstLineChars="100"/>
        <w:jc w:val="left"/>
        <w:rPr>
          <w:rFonts w:hint="eastAsia" w:asciiTheme="minorEastAsia" w:hAnsi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修改</w:t>
      </w:r>
      <w:r>
        <w:rPr>
          <w:rFonts w:hint="eastAsia" w:asciiTheme="minorEastAsia" w:hAnsiTheme="minorEastAsia"/>
          <w:color w:val="303030"/>
          <w:lang w:val="en-US" w:eastAsia="zh-CN"/>
        </w:rPr>
        <w:t>：指导教师审核前，学生可以自行修改；审核通过后，需要指导教师或教务员授权修改权限才可修改。</w:t>
      </w:r>
    </w:p>
    <w:p>
      <w:pPr>
        <w:keepNext w:val="0"/>
        <w:keepLines w:val="0"/>
        <w:widowControl/>
        <w:suppressLineNumbers w:val="0"/>
        <w:ind w:firstLine="210" w:firstLineChars="100"/>
        <w:jc w:val="left"/>
        <w:rPr>
          <w:rFonts w:hint="default" w:asciiTheme="minorEastAsia" w:hAnsi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303030"/>
          <w:lang w:val="en-US" w:eastAsia="zh-CN"/>
        </w:rPr>
        <w:t>不需要审核的模块，学生可自行修改。</w:t>
      </w:r>
    </w:p>
    <w:p>
      <w:pPr>
        <w:keepNext w:val="0"/>
        <w:keepLines w:val="0"/>
        <w:widowControl/>
        <w:suppressLineNumbers w:val="0"/>
        <w:ind w:firstLine="211" w:firstLineChars="100"/>
        <w:jc w:val="left"/>
        <w:rPr>
          <w:rFonts w:hint="default" w:asciiTheme="minorEastAsia" w:hAnsiTheme="minorEastAsia"/>
          <w:b/>
          <w:bCs/>
          <w:color w:val="C00000"/>
          <w:lang w:val="en-US" w:eastAsia="zh-CN"/>
        </w:rPr>
      </w:pPr>
      <w:r>
        <w:rPr>
          <w:rFonts w:hint="eastAsia" w:asciiTheme="minorEastAsia" w:hAnsiTheme="minorEastAsia"/>
          <w:b/>
          <w:bCs/>
          <w:color w:val="C00000"/>
          <w:lang w:val="en-US" w:eastAsia="zh-CN"/>
        </w:rPr>
        <w:t>中期报告及原创授权声明与开题报告提交方式类似，可参考。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27" w:name="_Toc13498"/>
      <w:r>
        <w:rPr>
          <w:rFonts w:hint="eastAsia"/>
          <w:lang w:val="en-US" w:eastAsia="zh-CN"/>
        </w:rPr>
        <w:t>2、</w:t>
      </w:r>
      <w:r>
        <w:t>提交</w:t>
      </w:r>
      <w:r>
        <w:rPr>
          <w:rFonts w:hint="eastAsia"/>
          <w:lang w:val="en-US" w:eastAsia="zh-CN"/>
        </w:rPr>
        <w:t>毕业论文查重稿</w:t>
      </w:r>
      <w:bookmarkEnd w:id="27"/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</w:t>
      </w:r>
      <w:r>
        <w:rPr>
          <w:rFonts w:hint="eastAsia" w:asciiTheme="minorEastAsia" w:hAnsiTheme="minorEastAsia"/>
          <w:color w:val="303030"/>
          <w:lang w:val="en-US" w:eastAsia="zh-CN"/>
        </w:rPr>
        <w:t>论文查重</w:t>
      </w:r>
      <w:r>
        <w:rPr>
          <w:rFonts w:hint="eastAsia" w:asciiTheme="minorEastAsia" w:hAnsiTheme="minorEastAsia"/>
          <w:color w:val="303030"/>
        </w:rPr>
        <w:t>”打开页面，或者在学生首页的“过程文档信息</w:t>
      </w:r>
      <w:r>
        <w:rPr>
          <w:rFonts w:hint="eastAsia" w:asciiTheme="minorEastAsia" w:hAnsiTheme="minorEastAsia"/>
          <w:color w:val="303030"/>
          <w:lang w:val="en-US" w:eastAsia="zh-CN"/>
        </w:rPr>
        <w:t>-</w:t>
      </w:r>
      <w:r>
        <w:rPr>
          <w:rFonts w:hint="eastAsia" w:asciiTheme="minorEastAsia" w:hAnsiTheme="minorEastAsia"/>
          <w:color w:val="303030"/>
        </w:rPr>
        <w:t>毕业设计（论文）”栏的“</w:t>
      </w:r>
      <w:r>
        <w:rPr>
          <w:rFonts w:hint="eastAsia" w:asciiTheme="minorEastAsia" w:hAnsiTheme="minorEastAsia"/>
          <w:color w:val="303030"/>
          <w:lang w:val="en-US" w:eastAsia="zh-CN"/>
        </w:rPr>
        <w:t>点击提交</w:t>
      </w:r>
      <w:r>
        <w:rPr>
          <w:rFonts w:hint="eastAsia" w:asciiTheme="minorEastAsia" w:hAnsiTheme="minorEastAsia"/>
          <w:color w:val="303030"/>
        </w:rPr>
        <w:t>”打开页面</w:t>
      </w:r>
    </w:p>
    <w:p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660775" cy="2152650"/>
            <wp:effectExtent l="0" t="0" r="6350" b="0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l="15457" b="10550"/>
                    <a:stretch>
                      <a:fillRect/>
                    </a:stretch>
                  </pic:blipFill>
                  <pic:spPr>
                    <a:xfrm>
                      <a:off x="0" y="0"/>
                      <a:ext cx="36607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 w:asciiTheme="minorEastAsia" w:hAnsiTheme="minorEastAsia" w:eastAsiaTheme="minorEastAsia"/>
          <w:color w:val="303030"/>
          <w:lang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步：输入关键词等内容，添加待上传的毕设（论文）文档，选择是否添加附件或其他内容（比如网址链接等），进行提交</w:t>
      </w:r>
      <w:r>
        <w:rPr>
          <w:rFonts w:hint="eastAsia" w:asciiTheme="minorEastAsia" w:hAnsiTheme="minorEastAsia"/>
          <w:color w:val="303030"/>
          <w:lang w:eastAsia="zh-CN"/>
        </w:rPr>
        <w:t>。</w:t>
      </w:r>
    </w:p>
    <w:p>
      <w:pPr>
        <w:keepNext w:val="0"/>
        <w:keepLines w:val="0"/>
        <w:widowControl/>
        <w:suppressLineNumbers w:val="0"/>
        <w:jc w:val="center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1577975" cy="2245360"/>
            <wp:effectExtent l="0" t="0" r="3175" b="254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2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b/>
          <w:bCs/>
          <w:color w:val="303030"/>
        </w:rPr>
        <w:t>*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目前学校设置两次检测机会，具体检测时间听从学院具体安排。学生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在每次截止时间到期前可进行修改再上传，系统将会自动在到期后对最后上传的版本进行检测，并给出结果。学校规定两次机会，请同学珍惜。</w:t>
      </w:r>
    </w:p>
    <w:p>
      <w:pPr>
        <w:spacing w:line="276" w:lineRule="auto"/>
        <w:ind w:firstLine="422" w:firstLineChars="200"/>
        <w:rPr>
          <w:rFonts w:hint="eastAsia" w:asciiTheme="minorEastAsia" w:hAnsiTheme="minorEastAsia" w:eastAsia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b/>
          <w:bCs/>
          <w:color w:val="303030"/>
        </w:rPr>
        <w:t>*检测后，学生可以查看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报告单。</w:t>
      </w:r>
    </w:p>
    <w:p>
      <w:pPr>
        <w:pStyle w:val="2"/>
        <w:bidi w:val="0"/>
        <w:rPr>
          <w:rFonts w:hint="default"/>
          <w:lang w:val="en-US" w:eastAsia="zh-CN"/>
        </w:rPr>
      </w:pPr>
      <w:bookmarkStart w:id="28" w:name="_Toc13511"/>
      <w:bookmarkStart w:id="29" w:name="_Toc23962"/>
      <w:r>
        <w:rPr>
          <w:rFonts w:hint="eastAsia"/>
          <w:lang w:val="en-US" w:eastAsia="zh-CN"/>
        </w:rPr>
        <w:t>五、</w:t>
      </w:r>
      <w:bookmarkEnd w:id="28"/>
      <w:r>
        <w:rPr>
          <w:rFonts w:hint="eastAsia"/>
          <w:lang w:val="en-US" w:eastAsia="zh-CN"/>
        </w:rPr>
        <w:t>毕业答辩</w:t>
      </w:r>
      <w:bookmarkEnd w:id="29"/>
    </w:p>
    <w:p>
      <w:pPr>
        <w:pStyle w:val="3"/>
        <w:bidi w:val="0"/>
        <w:rPr>
          <w:rFonts w:hint="eastAsia"/>
          <w:lang w:val="en-US" w:eastAsia="zh-CN"/>
        </w:rPr>
      </w:pPr>
      <w:bookmarkStart w:id="30" w:name="_Toc2252"/>
      <w:r>
        <w:rPr>
          <w:rFonts w:hint="eastAsia"/>
          <w:lang w:val="en-US" w:eastAsia="zh-CN"/>
        </w:rPr>
        <w:t>1、查看答辩组安排</w:t>
      </w:r>
      <w:bookmarkEnd w:id="30"/>
    </w:p>
    <w:p>
      <w:r>
        <w:drawing>
          <wp:inline distT="0" distB="0" distL="114300" distR="114300">
            <wp:extent cx="4055745" cy="2590165"/>
            <wp:effectExtent l="0" t="0" r="1905" b="63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5745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可在线查看具体的答辩时间、答辩地点等信息。关注微信消息提醒后，可在答辩前进行提醒。</w:t>
      </w:r>
    </w:p>
    <w:p>
      <w:pPr>
        <w:pStyle w:val="3"/>
        <w:bidi w:val="0"/>
      </w:pPr>
      <w:bookmarkStart w:id="31" w:name="_Toc26674"/>
      <w:r>
        <w:rPr>
          <w:rFonts w:hint="eastAsia"/>
          <w:lang w:val="en-US" w:eastAsia="zh-CN"/>
        </w:rPr>
        <w:t>2、</w:t>
      </w:r>
      <w:r>
        <w:t>提交答辩记录</w:t>
      </w:r>
      <w:bookmarkEnd w:id="31"/>
    </w:p>
    <w:p>
      <w:pPr>
        <w:ind w:firstLine="420"/>
        <w:rPr>
          <w:rFonts w:hint="eastAsia"/>
          <w:lang w:val="en-US" w:eastAsia="zh-CN"/>
        </w:rPr>
      </w:pPr>
      <w:r>
        <w:rPr>
          <w:rFonts w:hint="default"/>
        </w:rPr>
        <w:t>答辩结束后，</w:t>
      </w:r>
      <w:r>
        <w:rPr>
          <w:rFonts w:hint="eastAsia"/>
          <w:lang w:val="en-US" w:eastAsia="zh-CN"/>
        </w:rPr>
        <w:t>学院如要求学生自行填写，</w:t>
      </w:r>
      <w:r>
        <w:rPr>
          <w:rFonts w:hint="default"/>
        </w:rPr>
        <w:t>可</w:t>
      </w:r>
      <w:r>
        <w:rPr>
          <w:rFonts w:hint="eastAsia"/>
        </w:rPr>
        <w:t>提交</w:t>
      </w:r>
      <w:r>
        <w:rPr>
          <w:rFonts w:hint="default"/>
        </w:rPr>
        <w:t>答辩记录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位置：毕业答辩-毕业答辩情况界面。</w:t>
      </w:r>
    </w:p>
    <w:p>
      <w:pPr>
        <w:jc w:val="center"/>
      </w:pPr>
      <w:r>
        <w:drawing>
          <wp:inline distT="0" distB="0" distL="114300" distR="114300">
            <wp:extent cx="1162050" cy="1162050"/>
            <wp:effectExtent l="0" t="0" r="0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rcRect r="20538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91105" cy="1818005"/>
            <wp:effectExtent l="0" t="0" r="444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rcRect l="25651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32" w:name="_Toc28607"/>
      <w:bookmarkStart w:id="33" w:name="_Toc1224238352"/>
      <w:r>
        <w:rPr>
          <w:rFonts w:hint="eastAsia"/>
          <w:lang w:val="en-US" w:eastAsia="zh-CN"/>
        </w:rPr>
        <w:t>六、查看成绩</w:t>
      </w:r>
      <w:bookmarkEnd w:id="32"/>
      <w:bookmarkEnd w:id="33"/>
    </w:p>
    <w:p>
      <w:pPr>
        <w:jc w:val="both"/>
      </w:pPr>
      <w:r>
        <w:rPr>
          <w:rFonts w:hint="eastAsia"/>
          <w:lang w:val="en-US" w:eastAsia="zh-CN"/>
        </w:rPr>
        <w:t>学生可在“我的成绩”查看自己的所有成绩</w:t>
      </w:r>
    </w:p>
    <w:p>
      <w:pPr>
        <w:pStyle w:val="2"/>
        <w:bidi w:val="0"/>
      </w:pPr>
      <w:bookmarkStart w:id="34" w:name="_Toc19910"/>
      <w:bookmarkStart w:id="35" w:name="_Toc17699"/>
      <w:bookmarkStart w:id="36" w:name="_Toc733160157"/>
      <w:bookmarkStart w:id="37" w:name="_Toc1326026888_WPSOffice_Level3"/>
      <w:r>
        <w:rPr>
          <w:rFonts w:hint="eastAsia"/>
          <w:lang w:val="en-US" w:eastAsia="zh-CN"/>
        </w:rPr>
        <w:t>七、论文终版提交</w:t>
      </w:r>
      <w:r>
        <w:t>及表格导出</w:t>
      </w:r>
      <w:bookmarkEnd w:id="34"/>
      <w:bookmarkEnd w:id="35"/>
      <w:bookmarkEnd w:id="36"/>
      <w:bookmarkEnd w:id="37"/>
    </w:p>
    <w:p>
      <w:pPr>
        <w:pStyle w:val="3"/>
        <w:bidi w:val="0"/>
      </w:pPr>
      <w:bookmarkStart w:id="38" w:name="_Toc2109075860"/>
      <w:bookmarkStart w:id="39" w:name="_Toc25559"/>
      <w:r>
        <w:rPr>
          <w:rFonts w:hint="eastAsia"/>
          <w:lang w:val="en-US" w:eastAsia="zh-CN"/>
        </w:rPr>
        <w:t>1、论文终版</w:t>
      </w:r>
      <w:r>
        <w:t>提交</w:t>
      </w:r>
      <w:bookmarkEnd w:id="38"/>
      <w:bookmarkEnd w:id="39"/>
    </w:p>
    <w:p>
      <w:pPr>
        <w:ind w:firstLine="420"/>
        <w:rPr>
          <w:rFonts w:hint="default" w:eastAsiaTheme="minorEastAsia"/>
          <w:lang w:val="en-US" w:eastAsia="zh-CN"/>
        </w:rPr>
      </w:pPr>
      <w:r>
        <w:rPr>
          <w:rFonts w:hint="default"/>
        </w:rPr>
        <w:t>“教学秘书”</w:t>
      </w:r>
      <w:r>
        <w:rPr>
          <w:rFonts w:hint="eastAsia"/>
        </w:rPr>
        <w:t>开通最终版提交权限以后</w:t>
      </w:r>
      <w:r>
        <w:rPr>
          <w:rFonts w:hint="default"/>
        </w:rPr>
        <w:t>，学生可</w:t>
      </w:r>
      <w:r>
        <w:rPr>
          <w:rFonts w:hint="eastAsia"/>
        </w:rPr>
        <w:t>看到</w:t>
      </w:r>
      <w:r>
        <w:rPr>
          <w:rFonts w:hint="eastAsia"/>
          <w:lang w:val="en-US" w:eastAsia="zh-CN"/>
        </w:rPr>
        <w:t>论文</w:t>
      </w:r>
      <w:r>
        <w:rPr>
          <w:rFonts w:hint="eastAsia"/>
        </w:rPr>
        <w:t>终版提交</w:t>
      </w:r>
      <w:r>
        <w:rPr>
          <w:rFonts w:hint="default"/>
        </w:rPr>
        <w:t>按钮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页面</w:t>
      </w:r>
      <w:r>
        <w:rPr>
          <w:rFonts w:hint="default"/>
        </w:rPr>
        <w:t>与提交待检测论文页面相同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位置如下：论文终版管理-论文终版</w:t>
      </w:r>
    </w:p>
    <w:p>
      <w:pPr>
        <w:jc w:val="center"/>
      </w:pPr>
      <w:r>
        <w:drawing>
          <wp:inline distT="0" distB="0" distL="114300" distR="114300">
            <wp:extent cx="1405255" cy="790575"/>
            <wp:effectExtent l="0" t="0" r="4445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进入页面后，点击“提交文档”即可</w:t>
      </w:r>
    </w:p>
    <w:p>
      <w:pPr>
        <w:jc w:val="both"/>
      </w:pPr>
      <w:r>
        <w:drawing>
          <wp:inline distT="0" distB="0" distL="114300" distR="114300">
            <wp:extent cx="5270500" cy="454025"/>
            <wp:effectExtent l="0" t="0" r="6350" b="317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</w:pPr>
      <w:bookmarkStart w:id="40" w:name="_Toc872901638"/>
      <w:bookmarkStart w:id="41" w:name="_Toc9889"/>
      <w:r>
        <w:rPr>
          <w:rFonts w:hint="eastAsia"/>
          <w:lang w:val="en-US" w:eastAsia="zh-CN"/>
        </w:rPr>
        <w:t>2、</w:t>
      </w:r>
      <w:r>
        <w:t>表格导出</w:t>
      </w:r>
      <w:bookmarkEnd w:id="40"/>
      <w:bookmarkEnd w:id="41"/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位置：首页-导出文档，根据需要导出全部或部分文档</w:t>
      </w:r>
    </w:p>
    <w:p>
      <w:pPr>
        <w:jc w:val="center"/>
      </w:pPr>
      <w:r>
        <w:drawing>
          <wp:inline distT="0" distB="0" distL="114300" distR="114300">
            <wp:extent cx="3268980" cy="2883535"/>
            <wp:effectExtent l="0" t="0" r="7620" b="254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rcRect l="22388"/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883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/>
        </w:rPr>
        <w:t>导出的word文档，若格式有瑕疵，可进行微调</w:t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同方知网数字出版技术股份有限公司</w:t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4811395</wp:posOffset>
          </wp:positionH>
          <wp:positionV relativeFrom="paragraph">
            <wp:posOffset>-168910</wp:posOffset>
          </wp:positionV>
          <wp:extent cx="890905" cy="295275"/>
          <wp:effectExtent l="0" t="0" r="4445" b="9525"/>
          <wp:wrapSquare wrapText="bothSides"/>
          <wp:docPr id="44" name="图片 32" descr="logo方案-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图片 32" descr="logo方案-终"/>
                  <pic:cNvPicPr>
                    <a:picLocks noChangeAspect="1"/>
                  </pic:cNvPicPr>
                </pic:nvPicPr>
                <pic:blipFill>
                  <a:blip r:embed="rId1" cstate="screen"/>
                  <a:stretch>
                    <a:fillRect/>
                  </a:stretch>
                </pic:blipFill>
                <pic:spPr>
                  <a:xfrm>
                    <a:off x="0" y="0"/>
                    <a:ext cx="890905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D5E5DD"/>
    <w:multiLevelType w:val="singleLevel"/>
    <w:tmpl w:val="1AD5E5DD"/>
    <w:lvl w:ilvl="0" w:tentative="0">
      <w:start w:val="1"/>
      <w:numFmt w:val="decimal"/>
      <w:suff w:val="nothing"/>
      <w:lvlText w:val="（%1）"/>
      <w:lvlJc w:val="left"/>
      <w:pPr>
        <w:ind w:left="208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0DB"/>
    <w:rsid w:val="0000196F"/>
    <w:rsid w:val="0000203D"/>
    <w:rsid w:val="000038AB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50D93"/>
    <w:rsid w:val="001519AA"/>
    <w:rsid w:val="00157147"/>
    <w:rsid w:val="001573B1"/>
    <w:rsid w:val="0016448A"/>
    <w:rsid w:val="00164735"/>
    <w:rsid w:val="0016629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7DEE"/>
    <w:rsid w:val="001F25E2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4F81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6620"/>
    <w:rsid w:val="002C7E93"/>
    <w:rsid w:val="002D6C04"/>
    <w:rsid w:val="002D73FF"/>
    <w:rsid w:val="002D7C49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5EB9"/>
    <w:rsid w:val="0060757B"/>
    <w:rsid w:val="0060793B"/>
    <w:rsid w:val="006116EE"/>
    <w:rsid w:val="00612EED"/>
    <w:rsid w:val="00614B93"/>
    <w:rsid w:val="00617B22"/>
    <w:rsid w:val="00617DD6"/>
    <w:rsid w:val="00620974"/>
    <w:rsid w:val="00621C4B"/>
    <w:rsid w:val="006245EF"/>
    <w:rsid w:val="00630698"/>
    <w:rsid w:val="0063261D"/>
    <w:rsid w:val="006354A8"/>
    <w:rsid w:val="00640402"/>
    <w:rsid w:val="00642262"/>
    <w:rsid w:val="00642899"/>
    <w:rsid w:val="00642CC3"/>
    <w:rsid w:val="0064590A"/>
    <w:rsid w:val="00647521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6C28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6B9"/>
    <w:rsid w:val="008D3166"/>
    <w:rsid w:val="008D3772"/>
    <w:rsid w:val="008D4AD0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8F5697"/>
    <w:rsid w:val="008F6FA2"/>
    <w:rsid w:val="009000D1"/>
    <w:rsid w:val="009023A4"/>
    <w:rsid w:val="00903D91"/>
    <w:rsid w:val="00912346"/>
    <w:rsid w:val="009150B2"/>
    <w:rsid w:val="00915E04"/>
    <w:rsid w:val="00916C6A"/>
    <w:rsid w:val="00921DE2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451E"/>
    <w:rsid w:val="009B52B9"/>
    <w:rsid w:val="009B5E21"/>
    <w:rsid w:val="009B61A4"/>
    <w:rsid w:val="009C4855"/>
    <w:rsid w:val="009C57C2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471B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681E"/>
    <w:rsid w:val="00A36E37"/>
    <w:rsid w:val="00A3790E"/>
    <w:rsid w:val="00A40F5F"/>
    <w:rsid w:val="00A43144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2396"/>
    <w:rsid w:val="00A73C54"/>
    <w:rsid w:val="00A753D6"/>
    <w:rsid w:val="00A77F67"/>
    <w:rsid w:val="00A81C05"/>
    <w:rsid w:val="00A83169"/>
    <w:rsid w:val="00A841FC"/>
    <w:rsid w:val="00A8798C"/>
    <w:rsid w:val="00A9087B"/>
    <w:rsid w:val="00A91CEF"/>
    <w:rsid w:val="00A92363"/>
    <w:rsid w:val="00A94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40AD"/>
    <w:rsid w:val="00AB48D6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13D2"/>
    <w:rsid w:val="00C34BB0"/>
    <w:rsid w:val="00C35B81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7C1B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E00C86"/>
    <w:rsid w:val="00E0287D"/>
    <w:rsid w:val="00E0549C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52C4"/>
    <w:rsid w:val="00E668F3"/>
    <w:rsid w:val="00E70888"/>
    <w:rsid w:val="00E741ED"/>
    <w:rsid w:val="00E75617"/>
    <w:rsid w:val="00E76C26"/>
    <w:rsid w:val="00E77968"/>
    <w:rsid w:val="00E87AA0"/>
    <w:rsid w:val="00E94673"/>
    <w:rsid w:val="00EA0EEB"/>
    <w:rsid w:val="00EA2C33"/>
    <w:rsid w:val="00EA4177"/>
    <w:rsid w:val="00EA41C9"/>
    <w:rsid w:val="00EA4350"/>
    <w:rsid w:val="00EA5D8F"/>
    <w:rsid w:val="00EA6553"/>
    <w:rsid w:val="00EA67AD"/>
    <w:rsid w:val="00EB190F"/>
    <w:rsid w:val="00EB21D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01723697"/>
    <w:rsid w:val="05624252"/>
    <w:rsid w:val="07802007"/>
    <w:rsid w:val="088906FA"/>
    <w:rsid w:val="0A8A782F"/>
    <w:rsid w:val="0D14620C"/>
    <w:rsid w:val="11760F3D"/>
    <w:rsid w:val="15B17662"/>
    <w:rsid w:val="1CFB32A0"/>
    <w:rsid w:val="1D2C70D0"/>
    <w:rsid w:val="21D649F5"/>
    <w:rsid w:val="23333DA0"/>
    <w:rsid w:val="264335BF"/>
    <w:rsid w:val="291D5938"/>
    <w:rsid w:val="2B595BBA"/>
    <w:rsid w:val="2C842731"/>
    <w:rsid w:val="31101D7D"/>
    <w:rsid w:val="33544BA7"/>
    <w:rsid w:val="3D8331DC"/>
    <w:rsid w:val="3DA16F50"/>
    <w:rsid w:val="3F807CF1"/>
    <w:rsid w:val="40141BF8"/>
    <w:rsid w:val="479F7B2F"/>
    <w:rsid w:val="49F62F7C"/>
    <w:rsid w:val="4D2B692A"/>
    <w:rsid w:val="4E297EB7"/>
    <w:rsid w:val="50FF0DB0"/>
    <w:rsid w:val="51055932"/>
    <w:rsid w:val="53E22C41"/>
    <w:rsid w:val="5C38418D"/>
    <w:rsid w:val="5D504294"/>
    <w:rsid w:val="5DB23DD6"/>
    <w:rsid w:val="5E0A3AB0"/>
    <w:rsid w:val="5FD94F05"/>
    <w:rsid w:val="6B6C65E7"/>
    <w:rsid w:val="6F7C67C5"/>
    <w:rsid w:val="709F335B"/>
    <w:rsid w:val="73091F73"/>
    <w:rsid w:val="7A0F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100"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2"/>
    <w:link w:val="8"/>
    <w:qFormat/>
    <w:uiPriority w:val="99"/>
    <w:rPr>
      <w:sz w:val="18"/>
      <w:szCs w:val="18"/>
    </w:rPr>
  </w:style>
  <w:style w:type="character" w:customStyle="1" w:styleId="15">
    <w:name w:val="页脚 Char"/>
    <w:basedOn w:val="12"/>
    <w:link w:val="7"/>
    <w:qFormat/>
    <w:uiPriority w:val="99"/>
    <w:rPr>
      <w:sz w:val="18"/>
      <w:szCs w:val="18"/>
    </w:rPr>
  </w:style>
  <w:style w:type="character" w:customStyle="1" w:styleId="16">
    <w:name w:val="标题 1 Char"/>
    <w:basedOn w:val="12"/>
    <w:link w:val="2"/>
    <w:qFormat/>
    <w:uiPriority w:val="9"/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character" w:customStyle="1" w:styleId="17">
    <w:name w:val="标题 2 Char"/>
    <w:basedOn w:val="12"/>
    <w:link w:val="3"/>
    <w:qFormat/>
    <w:uiPriority w:val="9"/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18">
    <w:name w:val="标题 3 Char"/>
    <w:basedOn w:val="12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19">
    <w:name w:val="标题 4 Char"/>
    <w:basedOn w:val="12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paragraph" w:styleId="21">
    <w:name w:val="Intense Quote"/>
    <w:basedOn w:val="1"/>
    <w:next w:val="1"/>
    <w:qFormat/>
    <w:uiPriority w:val="30"/>
    <w:pPr>
      <w:pBdr>
        <w:top w:val="single" w:color="5B9BD5" w:themeColor="accent1" w:sz="4" w:space="10"/>
        <w:bottom w:val="single" w:color="5B9BD5" w:themeColor="accent1" w:sz="4" w:space="10"/>
      </w:pBdr>
      <w:spacing w:before="360" w:after="360"/>
      <w:ind w:left="864" w:right="864"/>
      <w:jc w:val="center"/>
    </w:pPr>
    <w:rPr>
      <w:i/>
      <w:iCs/>
      <w:color w:val="5B9BD5" w:themeColor="accent1"/>
      <w14:textFill>
        <w14:solidFill>
          <w14:schemeClr w14:val="accent1"/>
        </w14:solidFill>
      </w14:textFill>
    </w:rPr>
  </w:style>
  <w:style w:type="paragraph" w:customStyle="1" w:styleId="2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3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90813FD-AA58-4A53-8B4A-AC9C23AFFFD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932</Words>
  <Characters>5316</Characters>
  <Lines>44</Lines>
  <Paragraphs>12</Paragraphs>
  <TotalTime>32</TotalTime>
  <ScaleCrop>false</ScaleCrop>
  <LinksUpToDate>false</LinksUpToDate>
  <CharactersWithSpaces>6236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2018-08-27T01:56:00Z</dcterms:created>
  <dc:creator>shenyanhbxf@126.com</dc:creator>
  <cp:lastModifiedBy>杨格</cp:lastModifiedBy>
  <cp:lastPrinted>2021-10-12T01:49:43Z</cp:lastPrinted>
  <dcterms:modified xsi:type="dcterms:W3CDTF">2021-10-12T02:25:49Z</dcterms:modified>
  <cp:revision>5183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RubyTemplateID" linkTarget="0">
    <vt:lpwstr>6</vt:lpwstr>
  </property>
  <property fmtid="{D5CDD505-2E9C-101B-9397-08002B2CF9AE}" pid="4" name="ICV">
    <vt:lpwstr>801B7D45C6AA47BCBA780017C8F483E8</vt:lpwstr>
  </property>
</Properties>
</file>